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6ED38" w14:textId="77777777" w:rsidR="007900C1" w:rsidRPr="009B0208" w:rsidRDefault="007900C1" w:rsidP="007900C1">
      <w:pPr>
        <w:spacing w:before="120" w:after="120"/>
        <w:jc w:val="center"/>
        <w:rPr>
          <w:rFonts w:asciiTheme="minorHAnsi" w:hAnsiTheme="minorHAnsi" w:cstheme="minorHAnsi"/>
          <w:b/>
          <w:color w:val="1F497D"/>
          <w:sz w:val="36"/>
          <w:szCs w:val="36"/>
        </w:rPr>
      </w:pPr>
    </w:p>
    <w:p w14:paraId="5E81F68E" w14:textId="77777777" w:rsidR="00C13501" w:rsidRDefault="00C13501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</w:p>
    <w:p w14:paraId="20A4E075" w14:textId="53EDA28E" w:rsidR="008C0C85" w:rsidRPr="00387357" w:rsidRDefault="008C0C85" w:rsidP="008C0C85">
      <w:pPr>
        <w:ind w:left="-426"/>
        <w:jc w:val="center"/>
        <w:rPr>
          <w:rFonts w:asciiTheme="minorHAnsi" w:hAnsiTheme="minorHAnsi" w:cstheme="minorHAnsi"/>
          <w:b/>
          <w:sz w:val="28"/>
        </w:rPr>
      </w:pPr>
      <w:r w:rsidRPr="00387357">
        <w:rPr>
          <w:rFonts w:asciiTheme="minorHAnsi" w:hAnsiTheme="minorHAnsi" w:cstheme="minorHAnsi"/>
          <w:b/>
          <w:sz w:val="28"/>
        </w:rPr>
        <w:t>Špecifikácia rozsahu oprávnenej aktivity a oprávnených výdavkov</w:t>
      </w:r>
    </w:p>
    <w:p w14:paraId="1689B806" w14:textId="77777777" w:rsidR="007900C1" w:rsidRPr="009B0208" w:rsidRDefault="007900C1" w:rsidP="007900C1">
      <w:pPr>
        <w:ind w:left="-426"/>
        <w:jc w:val="both"/>
        <w:rPr>
          <w:rFonts w:asciiTheme="minorHAnsi" w:hAnsiTheme="minorHAnsi" w:cstheme="minorHAnsi"/>
        </w:rPr>
      </w:pPr>
    </w:p>
    <w:p w14:paraId="3C658BF5" w14:textId="77777777" w:rsidR="00D80A8E" w:rsidRPr="009B0208" w:rsidRDefault="00D80A8E" w:rsidP="007900C1">
      <w:pPr>
        <w:ind w:left="-426"/>
        <w:jc w:val="both"/>
        <w:rPr>
          <w:rFonts w:asciiTheme="minorHAnsi" w:hAnsiTheme="minorHAnsi" w:cstheme="minorHAnsi"/>
        </w:rPr>
      </w:pPr>
    </w:p>
    <w:tbl>
      <w:tblPr>
        <w:tblStyle w:val="Mriekatabuky"/>
        <w:tblW w:w="14601" w:type="dxa"/>
        <w:tblInd w:w="-289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4601"/>
      </w:tblGrid>
      <w:tr w:rsidR="007A1D28" w:rsidRPr="009B0208" w14:paraId="4003EEEE" w14:textId="77777777" w:rsidTr="00773273">
        <w:tc>
          <w:tcPr>
            <w:tcW w:w="14601" w:type="dxa"/>
            <w:shd w:val="clear" w:color="auto" w:fill="A6A6A6" w:themeFill="background1" w:themeFillShade="A6"/>
          </w:tcPr>
          <w:p w14:paraId="1EB6FE50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Upozornenie:</w:t>
            </w:r>
          </w:p>
          <w:p w14:paraId="580DAB0D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Oprávnené sú iba tie </w:t>
            </w:r>
            <w:r w:rsidRPr="009B0208">
              <w:rPr>
                <w:rFonts w:asciiTheme="minorHAnsi" w:hAnsiTheme="minorHAnsi" w:cstheme="minorHAnsi"/>
                <w:b/>
                <w:sz w:val="22"/>
                <w:szCs w:val="22"/>
                <w:lang w:val="sk-SK"/>
              </w:rPr>
              <w:t>výdavky, ktoré sú nevyhnutné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pre realizáciu a dosiahnutie cieľov projektu.</w:t>
            </w:r>
          </w:p>
          <w:p w14:paraId="73262991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Daň z pridanej hodnoty (ďalej len „DPH“) sa považuje za neoprávnený výdavok v prípade, ak:</w:t>
            </w:r>
          </w:p>
          <w:p w14:paraId="461FC079" w14:textId="3A4EB34C" w:rsidR="007A1D28" w:rsidRPr="009B0208" w:rsidRDefault="00114544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žiadateľ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 má nárok na vrátanie (odpočet) DPH za nadobudnutý a/alebo zhodnotený majetok, ktorý je financovaný z príspevku;</w:t>
            </w:r>
          </w:p>
          <w:p w14:paraId="4B27C95C" w14:textId="78413E14" w:rsidR="007A1D28" w:rsidRPr="009B0208" w:rsidRDefault="007A1D28" w:rsidP="00773273">
            <w:pPr>
              <w:pStyle w:val="Odsekzoznamu"/>
              <w:numPr>
                <w:ilvl w:val="0"/>
                <w:numId w:val="4"/>
              </w:numPr>
              <w:ind w:left="606" w:right="85" w:hanging="357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z prevádzkovania majetku nadobudnutého a/alebo zhodnoteného z poskytnutého príspevku plynú akékoľvek príjmy z ekonomickej činnosti, pričom na</w:t>
            </w:r>
            <w:r w:rsidR="009A1FA7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>účely tejto činnosti sa prevádzkovateľ tohto majetku stáva zdaniteľnou osobou podľa § 3 zákona o DPH</w:t>
            </w:r>
            <w:r w:rsidRPr="00773273">
              <w:rPr>
                <w:rFonts w:asciiTheme="minorHAnsi" w:hAnsiTheme="minorHAnsi" w:cstheme="minorHAnsi"/>
                <w:szCs w:val="22"/>
                <w:vertAlign w:val="superscript"/>
              </w:rPr>
              <w:footnoteReference w:id="1"/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 w:eastAsia="en-US"/>
              </w:rPr>
              <w:t xml:space="preserve">. </w:t>
            </w:r>
          </w:p>
          <w:p w14:paraId="50649B5F" w14:textId="77777777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</w:p>
          <w:p w14:paraId="3EA97A42" w14:textId="25EB3785" w:rsidR="007A1D28" w:rsidRPr="009B0208" w:rsidRDefault="007A1D28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Výdavky, obstarávané dodávateľským spôsobom, na ktorých obstaranie sa vzťahujú pravidlá verejného obstarávania, musia byť obstarané v súlade so zákonom o</w:t>
            </w:r>
            <w:r w:rsidR="009A1FA7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 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verejnom obstarávaní a usmerneniami RO pre IROP k procesom verejného obstarávania.</w:t>
            </w:r>
          </w:p>
          <w:p w14:paraId="278BFA09" w14:textId="12B32608" w:rsidR="00D41226" w:rsidRPr="00D41226" w:rsidRDefault="001F08C9" w:rsidP="00773273">
            <w:pPr>
              <w:spacing w:before="60" w:after="60"/>
              <w:ind w:left="85" w:right="85"/>
              <w:jc w:val="both"/>
              <w:rPr>
                <w:rFonts w:asciiTheme="minorHAnsi" w:hAnsiTheme="minorHAnsi" w:cstheme="minorHAnsi"/>
                <w:b/>
                <w:bCs/>
                <w:lang w:val="sk-SK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je povinný zostaviť rozpočet projektu, pričom ako oprávnené výdavky si môže nárokovať len tie, ktoré spadajú do </w:t>
            </w:r>
            <w:r w:rsidR="00041EA6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nižšie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uvedené</w:t>
            </w:r>
            <w:r w:rsidR="00AB1C4D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ho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definičného rámca. </w:t>
            </w:r>
            <w:r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Žiadateľ</w:t>
            </w:r>
            <w:r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 </w:t>
            </w:r>
            <w:r w:rsidR="007A1D28" w:rsidRPr="009B0208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>v rozpočte projektu vecne odôvodní, že jeho výdavky spadajú do uvedeného rámca a tiež zdôvodní ich potrebu, resp. nevyhnutnosť pre úspešnú realizáciu projektu.</w:t>
            </w:r>
          </w:p>
        </w:tc>
      </w:tr>
    </w:tbl>
    <w:p w14:paraId="78FCA15A" w14:textId="5F295146" w:rsidR="00937035" w:rsidRDefault="00937035">
      <w:pPr>
        <w:rPr>
          <w:rFonts w:asciiTheme="minorHAnsi" w:hAnsiTheme="minorHAnsi" w:cstheme="minorHAnsi"/>
        </w:rPr>
      </w:pPr>
    </w:p>
    <w:p w14:paraId="4F1FD49A" w14:textId="132C008C" w:rsidR="00346F59" w:rsidRDefault="00346F59">
      <w:pPr>
        <w:rPr>
          <w:rFonts w:asciiTheme="minorHAnsi" w:hAnsiTheme="minorHAnsi" w:cstheme="minorHAnsi"/>
        </w:rPr>
      </w:pPr>
    </w:p>
    <w:p w14:paraId="1A1DC438" w14:textId="0FDA0C8F" w:rsidR="00346F59" w:rsidRDefault="00346F59">
      <w:pPr>
        <w:rPr>
          <w:rFonts w:asciiTheme="minorHAnsi" w:hAnsiTheme="minorHAnsi" w:cstheme="minorHAnsi"/>
        </w:rPr>
      </w:pPr>
    </w:p>
    <w:p w14:paraId="3B20831F" w14:textId="69530670" w:rsidR="00435547" w:rsidRDefault="00435547">
      <w:pPr>
        <w:rPr>
          <w:rFonts w:asciiTheme="minorHAnsi" w:hAnsiTheme="minorHAnsi" w:cstheme="minorHAnsi"/>
        </w:rPr>
      </w:pPr>
    </w:p>
    <w:p w14:paraId="312AF026" w14:textId="77777777" w:rsidR="00435547" w:rsidRDefault="00435547">
      <w:pPr>
        <w:rPr>
          <w:rFonts w:asciiTheme="minorHAnsi" w:hAnsiTheme="minorHAnsi" w:cstheme="minorHAnsi"/>
        </w:rPr>
      </w:pPr>
    </w:p>
    <w:p w14:paraId="4952B478" w14:textId="04E24E7E" w:rsidR="00346F59" w:rsidRDefault="00346F59">
      <w:pPr>
        <w:rPr>
          <w:rFonts w:asciiTheme="minorHAnsi" w:hAnsiTheme="minorHAnsi" w:cstheme="minorHAnsi"/>
        </w:rPr>
      </w:pPr>
    </w:p>
    <w:p w14:paraId="78E9FBA8" w14:textId="43684B99" w:rsidR="00346F59" w:rsidRDefault="00346F59">
      <w:pPr>
        <w:rPr>
          <w:rFonts w:asciiTheme="minorHAnsi" w:hAnsiTheme="minorHAnsi" w:cstheme="minorHAnsi"/>
        </w:rPr>
      </w:pPr>
    </w:p>
    <w:p w14:paraId="13291842" w14:textId="77777777" w:rsidR="00346F59" w:rsidRPr="009B0208" w:rsidRDefault="00346F59">
      <w:pPr>
        <w:rPr>
          <w:rFonts w:asciiTheme="minorHAnsi" w:hAnsiTheme="minorHAnsi" w:cstheme="minorHAnsi"/>
        </w:rPr>
      </w:pPr>
    </w:p>
    <w:tbl>
      <w:tblPr>
        <w:tblStyle w:val="Deloittetable21"/>
        <w:tblW w:w="14710" w:type="dxa"/>
        <w:tblInd w:w="-398" w:type="dxa"/>
        <w:tbl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single" w:sz="4" w:space="0" w:color="4F81BD"/>
          <w:insideV w:val="single" w:sz="4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38"/>
        <w:gridCol w:w="9072"/>
      </w:tblGrid>
      <w:tr w:rsidR="00856D01" w:rsidRPr="009B0208" w14:paraId="3611E7E6" w14:textId="77777777" w:rsidTr="00E649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2398C031" w14:textId="07378BD8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lastRenderedPageBreak/>
              <w:t>Špecifický cieľ 5.1.2 - Zlepšenie udržateľných vzťahov medzi vidieckymi rozvojovými centrami a ich zázemím vo verejných službách a vo verejných infraštruktúrach</w:t>
            </w:r>
          </w:p>
        </w:tc>
      </w:tr>
      <w:tr w:rsidR="00856D01" w:rsidRPr="009B0208" w14:paraId="06EB94DB" w14:textId="77777777" w:rsidTr="00E649C9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67FA430F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Rozvoj základnej infraštruktúry v oblastiach:</w:t>
            </w:r>
          </w:p>
        </w:tc>
      </w:tr>
      <w:tr w:rsidR="00856D01" w:rsidRPr="009B0208" w14:paraId="0606339F" w14:textId="77777777" w:rsidTr="00E649C9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16BA5972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B1. Investície do cyklistických trás a súvisiacej podpornej infraštruktúry</w:t>
            </w:r>
          </w:p>
        </w:tc>
      </w:tr>
      <w:tr w:rsidR="00856D01" w:rsidRPr="009B0208" w14:paraId="7A9C422F" w14:textId="77777777" w:rsidTr="00E649C9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36F71FFF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Popis oprávnenej aktivity:</w:t>
            </w:r>
          </w:p>
          <w:p w14:paraId="41934D2F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• výstavba cyklistických trás zabezpečujúcich dopravu osôb do a zo zamestnania alebo k verejným službám,</w:t>
            </w:r>
          </w:p>
          <w:p w14:paraId="4B04CBDB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• rekonštrukcia cyklistických trás zabezpečujúcich dopravu osôb do a zo zamestnania alebo k verejným službám,</w:t>
            </w:r>
          </w:p>
          <w:p w14:paraId="120D6ADA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• budovanie verejného osvetlenia v priamej nadväznosti na výstavbu, alebo rekonštrukciu cyklotrasy,</w:t>
            </w:r>
          </w:p>
          <w:p w14:paraId="27C8DBF4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• vyhradenie jazdných pruhov pre cyklistov,</w:t>
            </w:r>
          </w:p>
          <w:p w14:paraId="5FAAE04D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• Investície do doplnkovej infraštruktúry -  chránené parkoviská pre bicykle, </w:t>
            </w:r>
            <w:proofErr w:type="spellStart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cyklostojany</w:t>
            </w:r>
            <w:proofErr w:type="spellEnd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 xml:space="preserve">, nabíjacie stanice pre </w:t>
            </w:r>
            <w:proofErr w:type="spellStart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elektrobicykle</w:t>
            </w:r>
            <w:proofErr w:type="spellEnd"/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, odpočívadlá,</w:t>
            </w:r>
          </w:p>
          <w:p w14:paraId="396BE0CF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• systémy automatickej požičovne bicyklov, hygienické zariadenia</w:t>
            </w:r>
          </w:p>
        </w:tc>
      </w:tr>
      <w:tr w:rsidR="00856D01" w:rsidRPr="009B0208" w14:paraId="470FCD22" w14:textId="77777777" w:rsidTr="00E649C9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10" w:type="dxa"/>
            <w:gridSpan w:val="2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E7E6E6" w:themeColor="background2"/>
              <w:right w:val="single" w:sz="4" w:space="0" w:color="9CC2E5" w:themeColor="accent1" w:themeTint="99"/>
            </w:tcBorders>
            <w:shd w:val="clear" w:color="auto" w:fill="4F81BD"/>
          </w:tcPr>
          <w:p w14:paraId="57A3EEDF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Oprávnené výdavky</w:t>
            </w:r>
          </w:p>
        </w:tc>
      </w:tr>
      <w:tr w:rsidR="008B334B" w:rsidRPr="009B0208" w14:paraId="61E0A355" w14:textId="77777777" w:rsidTr="008B334B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8" w:type="dxa"/>
            <w:tcBorders>
              <w:top w:val="single" w:sz="4" w:space="0" w:color="E7E6E6" w:themeColor="background2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E7E6E6" w:themeColor="background2"/>
            </w:tcBorders>
            <w:shd w:val="clear" w:color="auto" w:fill="4F81BD"/>
          </w:tcPr>
          <w:p w14:paraId="443D6F50" w14:textId="77777777" w:rsidR="00856D01" w:rsidRPr="009B0208" w:rsidRDefault="00856D01" w:rsidP="00437D96">
            <w:pPr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Skupina oprávnených výdavkov</w:t>
            </w:r>
          </w:p>
        </w:tc>
        <w:tc>
          <w:tcPr>
            <w:tcW w:w="9072" w:type="dxa"/>
            <w:tcBorders>
              <w:top w:val="single" w:sz="4" w:space="0" w:color="E7E6E6" w:themeColor="background2"/>
              <w:left w:val="single" w:sz="4" w:space="0" w:color="E7E6E6" w:themeColor="background2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4F81BD"/>
          </w:tcPr>
          <w:p w14:paraId="03E4215D" w14:textId="77777777" w:rsidR="00856D01" w:rsidRPr="009B0208" w:rsidRDefault="00856D01" w:rsidP="00437D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FFFFFF" w:themeColor="background1"/>
                <w:lang w:val="sk-SK"/>
              </w:rPr>
              <w:t>Vecný popis výdavku</w:t>
            </w:r>
          </w:p>
        </w:tc>
      </w:tr>
      <w:tr w:rsidR="00856D01" w:rsidRPr="009B0208" w14:paraId="6AD4AF87" w14:textId="77777777" w:rsidTr="00E649C9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1E6D6B7" w14:textId="77777777" w:rsidR="00856D01" w:rsidRPr="009B0208" w:rsidRDefault="00856D01" w:rsidP="00437D96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013 - Softvér vo výške obstarávacej ceny</w:t>
            </w:r>
          </w:p>
        </w:tc>
        <w:tc>
          <w:tcPr>
            <w:tcW w:w="907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FC7CE00" w14:textId="016AB8A8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výdavky na obstaranie softvéru vrátane výdavkov na obstaranie licencií súvisiacich s používaním softvéru - napr. riadiaci softvér pre nabíjacie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elektrostanice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, softvér pre riadenie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cyklopremávky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 pod.</w:t>
            </w:r>
            <w:r w:rsidR="00B7391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  <w:p w14:paraId="4FFEDDCB" w14:textId="7BEEF107" w:rsidR="00856D01" w:rsidRPr="009B0208" w:rsidRDefault="00856D01" w:rsidP="005A67D1">
            <w:pPr>
              <w:pStyle w:val="Default"/>
              <w:widowControl w:val="0"/>
              <w:numPr>
                <w:ilvl w:val="0"/>
                <w:numId w:val="6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modernizácia softvéru – napr. upgrade (pridávanie nových funkcionalít zhodnocujúcich softvér)</w:t>
            </w:r>
            <w:r w:rsidR="005A67D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pre nabíjacie </w:t>
            </w:r>
            <w:proofErr w:type="spellStart"/>
            <w:r w:rsidR="005A67D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elektrostanice</w:t>
            </w:r>
            <w:proofErr w:type="spellEnd"/>
            <w:r w:rsidR="005A67D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, pre softvér na riadenie </w:t>
            </w:r>
            <w:proofErr w:type="spellStart"/>
            <w:r w:rsidR="005A67D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cyklopremávky</w:t>
            </w:r>
            <w:proofErr w:type="spellEnd"/>
            <w:r w:rsidR="005A67D1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 pod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.</w:t>
            </w:r>
            <w:r w:rsidR="00B7391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  <w:p w14:paraId="11A8E08C" w14:textId="77777777" w:rsidR="005A67D1" w:rsidRPr="009B0208" w:rsidRDefault="005A67D1" w:rsidP="005265E1">
            <w:pPr>
              <w:pStyle w:val="Default"/>
              <w:widowControl w:val="0"/>
              <w:ind w:left="7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</w:p>
          <w:p w14:paraId="7F368D39" w14:textId="520D4737" w:rsidR="005A67D1" w:rsidRPr="009B0208" w:rsidRDefault="005A67D1" w:rsidP="005265E1">
            <w:pPr>
              <w:pStyle w:val="Default"/>
              <w:widowControl w:val="0"/>
              <w:ind w:left="71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Výdavky na softvér sú oprávnené len v kombinácii s oprávnenými výdavkami uvedenými aspoň v rámci jednej inej skupiny výdavkov pre túto oprávnenú aktivitu</w:t>
            </w:r>
            <w:r w:rsidR="00B73919" w:rsidRPr="009B0208">
              <w:rPr>
                <w:rFonts w:asciiTheme="minorHAnsi" w:hAnsiTheme="minorHAnsi" w:cstheme="minorHAnsi"/>
                <w:b/>
                <w:color w:val="auto"/>
                <w:sz w:val="19"/>
                <w:szCs w:val="19"/>
                <w:lang w:val="sk-SK"/>
              </w:rPr>
              <w:t>.</w:t>
            </w:r>
          </w:p>
        </w:tc>
      </w:tr>
      <w:tr w:rsidR="00856D01" w:rsidRPr="009B0208" w14:paraId="65056D80" w14:textId="77777777" w:rsidTr="00E649C9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232BC485" w14:textId="77777777" w:rsidR="00856D01" w:rsidRPr="009B0208" w:rsidRDefault="00856D01" w:rsidP="00437D96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021 - Stavebné práce vo výške obstarávacej ceny</w:t>
            </w:r>
          </w:p>
        </w:tc>
        <w:tc>
          <w:tcPr>
            <w:tcW w:w="907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611EEAC5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realizácia nových stavieb nemotorovej dopravy, ako napríklad:</w:t>
            </w:r>
          </w:p>
          <w:p w14:paraId="7A217A34" w14:textId="4A64DD26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7"/>
              </w:numPr>
              <w:ind w:left="1041"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cyklistických komunikácií,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cyklokoridorov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(samostatná cyklistická cestička, samostatný cyklistický pruh,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cyklokoridor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 spoločná cestička pre chodcov a cyklistov),</w:t>
            </w:r>
          </w:p>
          <w:p w14:paraId="715A19A5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7"/>
              </w:numPr>
              <w:ind w:left="1041"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doplnkovej cyklistickej infraštruktúry (chránené parkoviská pre bicykle (kryté stojany, automatické parkovacie systémy, a pod.),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cyklostojany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, nabíjacie stanice pre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elektrobicykle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(ako zabudované stroje, prístroje a zariadenia, ktoré sú súčasťou stavby), hygienické zariadenia, cyklistické odpočívadlo a pod.),</w:t>
            </w:r>
          </w:p>
          <w:p w14:paraId="2896B96B" w14:textId="1A84CDAE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7"/>
              </w:numPr>
              <w:ind w:left="1041" w:hanging="283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vybavenie cyklistickej komunikácie (schodiskové žliabky, osvetlenie, cyklistické spomaľovače a pod.), ako súčasť vyššie uvedených aktivít</w:t>
            </w:r>
            <w:r w:rsidR="00B7391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</w:t>
            </w:r>
          </w:p>
          <w:p w14:paraId="3953F5B2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rekonštrukcie, modernizácia a stavebno-technické úpravy existujúcej infraštruktúry pre nemotorovú dopravu s možnosťou celoročnej prevádzky, vrátane vybavenia cyklistickej komunikácie (osvetlenie, cyklistické spomaľovače a pod.), sadových úprav a zelene,</w:t>
            </w:r>
          </w:p>
        </w:tc>
      </w:tr>
      <w:tr w:rsidR="00856D01" w:rsidRPr="009B0208" w14:paraId="645A9E3F" w14:textId="77777777" w:rsidTr="00E649C9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1C46BE6A" w14:textId="5D2D4167" w:rsidR="00856D01" w:rsidRPr="009B0208" w:rsidRDefault="00856D01" w:rsidP="00437D96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022 – Samostatné hnuteľné veci a súbory hnuteľných</w:t>
            </w:r>
            <w:r w:rsidR="00B97C29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vecí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vo výške obstarávacej ceny</w:t>
            </w:r>
          </w:p>
        </w:tc>
        <w:tc>
          <w:tcPr>
            <w:tcW w:w="907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6103A619" w14:textId="73D352A4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hygienické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zariadenia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,</w:t>
            </w:r>
          </w:p>
          <w:p w14:paraId="6407F2C2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výpočtová a telekomunikačná technika bezprostredne súvisiaca s implementáciou projektu,</w:t>
            </w:r>
          </w:p>
          <w:p w14:paraId="1FF8E8FA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prevádzkové a špeciálne stroje, prístroje, zariadenia, technika a náradie (napr. nabíjacia stanica), </w:t>
            </w:r>
          </w:p>
          <w:p w14:paraId="2B0E72E6" w14:textId="212C177A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lastRenderedPageBreak/>
              <w:t>komunikačná infraštruktúra</w:t>
            </w:r>
            <w:r w:rsidR="002A4B1F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(napr. v súvislosti s (audio)vizuálnym monitorovaním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cyklochodníkov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,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cyklokoridorov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 cyklistických komunikácií, v súvislosti s nabíjacími stanicami pre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elektrobicykle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 so systémami automatickej požičovne bicyklov a pod.)</w:t>
            </w:r>
          </w:p>
        </w:tc>
      </w:tr>
      <w:tr w:rsidR="00856D01" w:rsidRPr="009B0208" w14:paraId="01E26907" w14:textId="77777777" w:rsidTr="00E649C9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0375B5AD" w14:textId="77777777" w:rsidR="00856D01" w:rsidRPr="009B0208" w:rsidRDefault="00856D01" w:rsidP="00437D96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lastRenderedPageBreak/>
              <w:t>029  Ostatný dlhodobý hmotný  majetok vo výške obstarávacej ceny</w:t>
            </w:r>
          </w:p>
        </w:tc>
        <w:tc>
          <w:tcPr>
            <w:tcW w:w="907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55C758B5" w14:textId="12825F64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hygienické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 xml:space="preserve">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zariadenia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</w:rPr>
              <w:t>,</w:t>
            </w:r>
          </w:p>
          <w:p w14:paraId="5BA2EDB2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výpočtová a telekomunikačná technika bezprostredne súvisiaca s implementáciou projektu,</w:t>
            </w:r>
          </w:p>
          <w:p w14:paraId="1485AC9E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prevádzkové a špeciálne stroje, prístroje, zariadenia, technika a náradie (napr. nabíjacia stanica), </w:t>
            </w:r>
          </w:p>
          <w:p w14:paraId="673BF2E7" w14:textId="00FCD700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komunikačná infraštruktúra</w:t>
            </w:r>
            <w:r w:rsidR="002A4B1F"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</w:t>
            </w: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(napr. v súvislosti s (audio)vizuálnym monitorovaním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cyklochodníkov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,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cyklokoridorov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a cyklistických komunikácií, v súvislosti s nabíjacími stanicami pre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elektrobicykle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, so systémami automatickej požičovne bicyklov a pod.)</w:t>
            </w:r>
          </w:p>
        </w:tc>
      </w:tr>
      <w:tr w:rsidR="00856D01" w:rsidRPr="009B0208" w14:paraId="4387316C" w14:textId="77777777" w:rsidTr="00E649C9">
        <w:trPr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8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65E3F49A" w14:textId="77777777" w:rsidR="00856D01" w:rsidRPr="009B0208" w:rsidRDefault="00856D01" w:rsidP="00437D96">
            <w:pPr>
              <w:pStyle w:val="Default"/>
              <w:widowControl w:val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023 Dopravné prostriedky vo výške obstarávacej ceny</w:t>
            </w:r>
          </w:p>
        </w:tc>
        <w:tc>
          <w:tcPr>
            <w:tcW w:w="9072" w:type="dxa"/>
            <w:tcBorders>
              <w:top w:val="single" w:sz="4" w:space="0" w:color="9CC2E5" w:themeColor="accent1" w:themeTint="99"/>
              <w:left w:val="single" w:sz="4" w:space="0" w:color="9CC2E5" w:themeColor="accent1" w:themeTint="99"/>
              <w:bottom w:val="single" w:sz="4" w:space="0" w:color="9CC2E5" w:themeColor="accent1" w:themeTint="99"/>
              <w:right w:val="single" w:sz="4" w:space="0" w:color="9CC2E5" w:themeColor="accent1" w:themeTint="99"/>
            </w:tcBorders>
            <w:shd w:val="clear" w:color="auto" w:fill="FFFFFF" w:themeFill="background1"/>
          </w:tcPr>
          <w:p w14:paraId="752BA796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bicykle – nemotorové vozidlá pohybujúce sa pomocou ľudskej sily šliapaním do pedálov, ktoré sú ovládané cyklistom pomocou riadidiel tak, že sedí na sedadle bicykla a drží sa riadidiel, pričom pri jazde má cyklista nohy na pedáloch,</w:t>
            </w:r>
          </w:p>
          <w:p w14:paraId="26C92F10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bicykle s pomocným motorčekom – bicykle, pričom na pohon okrem ľudskej sily slúži aj pomocný motorček,</w:t>
            </w:r>
          </w:p>
          <w:p w14:paraId="0F1F3F2C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kolobežky – nemotorové vozidlá pohybujúce sa pomocou ľudskej sily nožným odrážaním, ktoré sú ovládané </w:t>
            </w:r>
            <w:proofErr w:type="spellStart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kolobežkárom</w:t>
            </w:r>
            <w:proofErr w:type="spellEnd"/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 xml:space="preserve"> pomocou riadidiel tak, že sedí na sedadle kolobežky alebo stojí a drží sa riadidiel,</w:t>
            </w:r>
          </w:p>
          <w:p w14:paraId="3CC743F7" w14:textId="77777777" w:rsidR="00856D01" w:rsidRPr="009B0208" w:rsidRDefault="00856D01" w:rsidP="00856D01">
            <w:pPr>
              <w:pStyle w:val="Default"/>
              <w:widowControl w:val="0"/>
              <w:numPr>
                <w:ilvl w:val="0"/>
                <w:numId w:val="5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</w:pPr>
            <w:r w:rsidRPr="009B0208">
              <w:rPr>
                <w:rFonts w:asciiTheme="minorHAnsi" w:hAnsiTheme="minorHAnsi" w:cstheme="minorHAnsi"/>
                <w:color w:val="auto"/>
                <w:sz w:val="19"/>
                <w:szCs w:val="19"/>
                <w:lang w:val="sk-SK"/>
              </w:rPr>
              <w:t>kolobežky s pomocným motorčekom – kolobežky, pričom na pohon okrem ľudskej sily slúži aj pomocný motorček,</w:t>
            </w:r>
          </w:p>
        </w:tc>
      </w:tr>
    </w:tbl>
    <w:p w14:paraId="347FDC25" w14:textId="77777777" w:rsidR="00856D01" w:rsidRPr="009B0208" w:rsidRDefault="00856D01" w:rsidP="00856D01">
      <w:pPr>
        <w:rPr>
          <w:rFonts w:asciiTheme="minorHAnsi" w:hAnsiTheme="minorHAnsi" w:cstheme="minorHAnsi"/>
          <w:b/>
          <w:sz w:val="24"/>
        </w:rPr>
      </w:pPr>
    </w:p>
    <w:p w14:paraId="071307E5" w14:textId="212D762E" w:rsidR="00856D01" w:rsidRPr="009B0208" w:rsidRDefault="00856D01" w:rsidP="00856D01">
      <w:pPr>
        <w:rPr>
          <w:rFonts w:asciiTheme="minorHAnsi" w:hAnsiTheme="minorHAnsi" w:cstheme="minorHAnsi"/>
          <w:b/>
          <w:sz w:val="24"/>
        </w:rPr>
      </w:pPr>
    </w:p>
    <w:sectPr w:rsidR="00856D01" w:rsidRPr="009B0208" w:rsidSect="00114544">
      <w:headerReference w:type="first" r:id="rId8"/>
      <w:pgSz w:w="16838" w:h="11906" w:orient="landscape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C4234" w14:textId="77777777" w:rsidR="00EF7837" w:rsidRDefault="00EF7837" w:rsidP="007900C1">
      <w:r>
        <w:separator/>
      </w:r>
    </w:p>
  </w:endnote>
  <w:endnote w:type="continuationSeparator" w:id="0">
    <w:p w14:paraId="3865AC89" w14:textId="77777777" w:rsidR="00EF7837" w:rsidRDefault="00EF7837" w:rsidP="0079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F3F725" w14:textId="77777777" w:rsidR="00EF7837" w:rsidRDefault="00EF7837" w:rsidP="007900C1">
      <w:r>
        <w:separator/>
      </w:r>
    </w:p>
  </w:footnote>
  <w:footnote w:type="continuationSeparator" w:id="0">
    <w:p w14:paraId="386AA155" w14:textId="77777777" w:rsidR="00EF7837" w:rsidRDefault="00EF7837" w:rsidP="007900C1">
      <w:r>
        <w:continuationSeparator/>
      </w:r>
    </w:p>
  </w:footnote>
  <w:footnote w:id="1">
    <w:p w14:paraId="4B06EEC8" w14:textId="77777777" w:rsidR="00DB2968" w:rsidRDefault="00DB2968" w:rsidP="007A1D28">
      <w:pPr>
        <w:pStyle w:val="Textpoznmkypodiarou"/>
        <w:ind w:left="170" w:hanging="170"/>
        <w:jc w:val="both"/>
        <w:rPr>
          <w:rStyle w:val="Odkaznapoznmkupodiarou"/>
          <w:rFonts w:ascii="Arial Narrow" w:hAnsi="Arial Narrow"/>
          <w:szCs w:val="18"/>
        </w:rPr>
      </w:pPr>
      <w:r>
        <w:rPr>
          <w:rStyle w:val="Odkaznapoznmkupodiarou"/>
          <w:rFonts w:ascii="Arial Narrow" w:hAnsi="Arial Narrow"/>
          <w:szCs w:val="18"/>
        </w:rPr>
        <w:footnoteRef/>
      </w:r>
      <w:r>
        <w:rPr>
          <w:rStyle w:val="Odkaznapoznmkupodiarou"/>
          <w:rFonts w:ascii="Arial Narrow" w:hAnsi="Arial Narrow"/>
          <w:szCs w:val="18"/>
        </w:rPr>
        <w:t xml:space="preserve"> </w:t>
      </w:r>
      <w:r>
        <w:rPr>
          <w:rFonts w:ascii="Arial Narrow" w:hAnsi="Arial Narrow"/>
          <w:szCs w:val="18"/>
          <w:vertAlign w:val="subscript"/>
        </w:rPr>
        <w:tab/>
      </w:r>
      <w:r>
        <w:rPr>
          <w:rStyle w:val="Zvraznenie"/>
          <w:rFonts w:ascii="Arial Narrow" w:hAnsi="Arial Narrow"/>
          <w:bCs/>
          <w:szCs w:val="18"/>
          <w:shd w:val="clear" w:color="auto" w:fill="FFFFFF"/>
        </w:rPr>
        <w:t>Zákon</w:t>
      </w:r>
      <w:r>
        <w:rPr>
          <w:rStyle w:val="apple-converted-space"/>
          <w:rFonts w:ascii="Arial Narrow" w:hAnsi="Arial Narrow"/>
          <w:i/>
          <w:szCs w:val="18"/>
          <w:shd w:val="clear" w:color="auto" w:fill="FFFFFF"/>
        </w:rPr>
        <w:t> </w:t>
      </w:r>
      <w:r>
        <w:rPr>
          <w:rFonts w:ascii="Arial Narrow" w:hAnsi="Arial Narrow"/>
          <w:szCs w:val="18"/>
          <w:shd w:val="clear" w:color="auto" w:fill="FFFFFF"/>
        </w:rPr>
        <w:t>č. 222/2004 Z. z. o dani z pridanej hodnoty v znení neskorších predpisov.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95A51" w14:textId="77777777" w:rsidR="00435547" w:rsidRDefault="00435547" w:rsidP="00435547">
    <w:pPr>
      <w:pStyle w:val="Hlavika"/>
      <w:rPr>
        <w:rFonts w:ascii="Arial Narrow" w:hAnsi="Arial Narrow"/>
        <w:sz w:val="20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596DFF15" wp14:editId="6BDF9CD9">
          <wp:simplePos x="0" y="0"/>
          <wp:positionH relativeFrom="column">
            <wp:posOffset>235585</wp:posOffset>
          </wp:positionH>
          <wp:positionV relativeFrom="paragraph">
            <wp:posOffset>-165735</wp:posOffset>
          </wp:positionV>
          <wp:extent cx="762000" cy="586740"/>
          <wp:effectExtent l="0" t="0" r="0" b="3810"/>
          <wp:wrapThrough wrapText="bothSides">
            <wp:wrapPolygon edited="0">
              <wp:start x="0" y="0"/>
              <wp:lineTo x="0" y="21039"/>
              <wp:lineTo x="21060" y="21039"/>
              <wp:lineTo x="21060" y="0"/>
              <wp:lineTo x="0" y="0"/>
            </wp:wrapPolygon>
          </wp:wrapThrough>
          <wp:docPr id="6" name="Obrázok 6" descr="Agroprame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Agroprameň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56704" behindDoc="1" locked="0" layoutInCell="1" allowOverlap="1" wp14:anchorId="7C9110F6" wp14:editId="6444AF5E">
          <wp:simplePos x="0" y="0"/>
          <wp:positionH relativeFrom="column">
            <wp:posOffset>1768475</wp:posOffset>
          </wp:positionH>
          <wp:positionV relativeFrom="paragraph">
            <wp:posOffset>-130175</wp:posOffset>
          </wp:positionV>
          <wp:extent cx="561975" cy="471170"/>
          <wp:effectExtent l="19050" t="0" r="9525" b="0"/>
          <wp:wrapTight wrapText="bothSides">
            <wp:wrapPolygon edited="0">
              <wp:start x="2197" y="0"/>
              <wp:lineTo x="3661" y="13973"/>
              <wp:lineTo x="-732" y="13973"/>
              <wp:lineTo x="-732" y="19213"/>
              <wp:lineTo x="5125" y="20960"/>
              <wp:lineTo x="16841" y="20960"/>
              <wp:lineTo x="21966" y="19213"/>
              <wp:lineTo x="21966" y="13973"/>
              <wp:lineTo x="18305" y="13973"/>
              <wp:lineTo x="20502" y="9606"/>
              <wp:lineTo x="19769" y="0"/>
              <wp:lineTo x="2197" y="0"/>
            </wp:wrapPolygon>
          </wp:wrapTight>
          <wp:docPr id="16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60800" behindDoc="1" locked="0" layoutInCell="1" allowOverlap="1" wp14:anchorId="3A0888AF" wp14:editId="74706BC0">
          <wp:simplePos x="0" y="0"/>
          <wp:positionH relativeFrom="column">
            <wp:posOffset>3476625</wp:posOffset>
          </wp:positionH>
          <wp:positionV relativeFrom="paragraph">
            <wp:posOffset>8890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15" name="Obrázok 15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58752" behindDoc="1" locked="0" layoutInCell="1" allowOverlap="1" wp14:anchorId="17E29E36" wp14:editId="6BDC4206">
          <wp:simplePos x="0" y="0"/>
          <wp:positionH relativeFrom="column">
            <wp:posOffset>6644253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7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sz w:val="20"/>
      </w:rPr>
      <w:tab/>
    </w:r>
    <w:r>
      <w:rPr>
        <w:rFonts w:ascii="Arial Narrow" w:hAnsi="Arial Narrow"/>
        <w:sz w:val="20"/>
      </w:rPr>
      <w:tab/>
    </w:r>
  </w:p>
  <w:p w14:paraId="047AABF9" w14:textId="77777777" w:rsidR="00435547" w:rsidRDefault="00435547" w:rsidP="00435547">
    <w:pPr>
      <w:pStyle w:val="Hlavika"/>
      <w:tabs>
        <w:tab w:val="right" w:pos="14004"/>
      </w:tabs>
    </w:pPr>
  </w:p>
  <w:p w14:paraId="71241B10" w14:textId="77777777" w:rsidR="00435547" w:rsidRDefault="00435547" w:rsidP="00435547">
    <w:pPr>
      <w:pStyle w:val="Hlavika"/>
      <w:tabs>
        <w:tab w:val="right" w:pos="14004"/>
      </w:tabs>
    </w:pPr>
  </w:p>
  <w:p w14:paraId="112F2A14" w14:textId="77777777" w:rsidR="00435547" w:rsidRPr="001B5DCB" w:rsidRDefault="00435547" w:rsidP="00435547">
    <w:pPr>
      <w:pStyle w:val="Hlavika"/>
      <w:tabs>
        <w:tab w:val="right" w:pos="14004"/>
      </w:tabs>
    </w:pPr>
    <w:r>
      <w:t xml:space="preserve">Príloha č. 2 výzvy - </w:t>
    </w:r>
    <w:r w:rsidRPr="001B5DCB">
      <w:t>Špecifikácia oprávnen</w:t>
    </w:r>
    <w:r>
      <w:t>ej</w:t>
    </w:r>
    <w:r w:rsidRPr="001B5DCB">
      <w:t xml:space="preserve"> aktiv</w:t>
    </w:r>
    <w:r>
      <w:t>i</w:t>
    </w:r>
    <w:r w:rsidRPr="001B5DCB">
      <w:t>t</w:t>
    </w:r>
    <w:r>
      <w:t>y</w:t>
    </w:r>
    <w:r w:rsidRPr="001B5DCB">
      <w:t xml:space="preserve"> a oprávnených výdavkov</w:t>
    </w:r>
  </w:p>
  <w:p w14:paraId="2DC87218" w14:textId="77777777" w:rsidR="00346F59" w:rsidRDefault="00346F59" w:rsidP="00346F59">
    <w:pPr>
      <w:pStyle w:val="Hlavika"/>
      <w:tabs>
        <w:tab w:val="right" w:pos="14004"/>
      </w:tabs>
    </w:pPr>
    <w:r>
      <w:t xml:space="preserve">       </w:t>
    </w:r>
    <w:r>
      <w:tab/>
    </w:r>
  </w:p>
  <w:p w14:paraId="7DCDC4E1" w14:textId="5B9C6672" w:rsidR="00346F59" w:rsidRDefault="00346F59" w:rsidP="00346F59">
    <w:pPr>
      <w:pStyle w:val="Hlavika"/>
      <w:tabs>
        <w:tab w:val="right" w:pos="140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D04D7"/>
    <w:multiLevelType w:val="hybridMultilevel"/>
    <w:tmpl w:val="AA7025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35CE1"/>
    <w:multiLevelType w:val="hybridMultilevel"/>
    <w:tmpl w:val="EDBE3E6E"/>
    <w:lvl w:ilvl="0" w:tplc="041B0005">
      <w:start w:val="1"/>
      <w:numFmt w:val="bullet"/>
      <w:lvlText w:val=""/>
      <w:lvlJc w:val="left"/>
      <w:pPr>
        <w:ind w:left="462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 w15:restartNumberingAfterBreak="0">
    <w:nsid w:val="1C00522C"/>
    <w:multiLevelType w:val="hybridMultilevel"/>
    <w:tmpl w:val="F528908C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1A3C02"/>
    <w:multiLevelType w:val="hybridMultilevel"/>
    <w:tmpl w:val="152C90FE"/>
    <w:lvl w:ilvl="0" w:tplc="CDBEAC6C">
      <w:numFmt w:val="bullet"/>
      <w:lvlText w:val="•"/>
      <w:lvlJc w:val="left"/>
      <w:pPr>
        <w:ind w:left="578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6FD426E"/>
    <w:multiLevelType w:val="hybridMultilevel"/>
    <w:tmpl w:val="954AE136"/>
    <w:lvl w:ilvl="0" w:tplc="D2EA154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B64CA"/>
    <w:multiLevelType w:val="hybridMultilevel"/>
    <w:tmpl w:val="C6C275E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13754F"/>
    <w:multiLevelType w:val="hybridMultilevel"/>
    <w:tmpl w:val="3DB6E6C4"/>
    <w:lvl w:ilvl="0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5DA2B37"/>
    <w:multiLevelType w:val="hybridMultilevel"/>
    <w:tmpl w:val="CE5E8FFA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144DC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94880"/>
    <w:multiLevelType w:val="hybridMultilevel"/>
    <w:tmpl w:val="17EE5060"/>
    <w:lvl w:ilvl="0" w:tplc="02CA6F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96"/>
    <w:rsid w:val="000309C2"/>
    <w:rsid w:val="00041EA6"/>
    <w:rsid w:val="00045BF4"/>
    <w:rsid w:val="00050852"/>
    <w:rsid w:val="00051444"/>
    <w:rsid w:val="00052740"/>
    <w:rsid w:val="00065996"/>
    <w:rsid w:val="000867AB"/>
    <w:rsid w:val="0009378B"/>
    <w:rsid w:val="000950EA"/>
    <w:rsid w:val="000A5B92"/>
    <w:rsid w:val="000B25BD"/>
    <w:rsid w:val="000B4F5E"/>
    <w:rsid w:val="000E52FF"/>
    <w:rsid w:val="00106314"/>
    <w:rsid w:val="001118C7"/>
    <w:rsid w:val="00113C2C"/>
    <w:rsid w:val="00114544"/>
    <w:rsid w:val="001334FC"/>
    <w:rsid w:val="001663AC"/>
    <w:rsid w:val="001770B0"/>
    <w:rsid w:val="001A66A4"/>
    <w:rsid w:val="001B4D56"/>
    <w:rsid w:val="001C297B"/>
    <w:rsid w:val="001F08C9"/>
    <w:rsid w:val="00203C57"/>
    <w:rsid w:val="00222486"/>
    <w:rsid w:val="00224D63"/>
    <w:rsid w:val="00227395"/>
    <w:rsid w:val="00230896"/>
    <w:rsid w:val="00256CA0"/>
    <w:rsid w:val="00273E3B"/>
    <w:rsid w:val="00286B67"/>
    <w:rsid w:val="00290A29"/>
    <w:rsid w:val="002A4B1F"/>
    <w:rsid w:val="002B76C5"/>
    <w:rsid w:val="002D45AB"/>
    <w:rsid w:val="002F25E6"/>
    <w:rsid w:val="00301FE1"/>
    <w:rsid w:val="00346F59"/>
    <w:rsid w:val="00350521"/>
    <w:rsid w:val="00355300"/>
    <w:rsid w:val="003555ED"/>
    <w:rsid w:val="003850A7"/>
    <w:rsid w:val="00397BDA"/>
    <w:rsid w:val="003A78DE"/>
    <w:rsid w:val="003D61B8"/>
    <w:rsid w:val="003E0C5A"/>
    <w:rsid w:val="003F6B8D"/>
    <w:rsid w:val="003F72C1"/>
    <w:rsid w:val="00420279"/>
    <w:rsid w:val="004234C1"/>
    <w:rsid w:val="00435547"/>
    <w:rsid w:val="00437D96"/>
    <w:rsid w:val="00450EE2"/>
    <w:rsid w:val="00455F27"/>
    <w:rsid w:val="00485B0A"/>
    <w:rsid w:val="004A07A8"/>
    <w:rsid w:val="004A17A5"/>
    <w:rsid w:val="004A704B"/>
    <w:rsid w:val="004B5802"/>
    <w:rsid w:val="004B763F"/>
    <w:rsid w:val="004B7E79"/>
    <w:rsid w:val="004C49AD"/>
    <w:rsid w:val="00506ED7"/>
    <w:rsid w:val="00507295"/>
    <w:rsid w:val="005265E1"/>
    <w:rsid w:val="00545CDC"/>
    <w:rsid w:val="005A67D1"/>
    <w:rsid w:val="005A7193"/>
    <w:rsid w:val="005E412A"/>
    <w:rsid w:val="0067066E"/>
    <w:rsid w:val="006A7789"/>
    <w:rsid w:val="006B1490"/>
    <w:rsid w:val="006C0C6A"/>
    <w:rsid w:val="006C0D2C"/>
    <w:rsid w:val="006E0BA1"/>
    <w:rsid w:val="006E2C53"/>
    <w:rsid w:val="006F416A"/>
    <w:rsid w:val="00707EA7"/>
    <w:rsid w:val="007178B7"/>
    <w:rsid w:val="00722D6C"/>
    <w:rsid w:val="00727895"/>
    <w:rsid w:val="00732593"/>
    <w:rsid w:val="00764AC3"/>
    <w:rsid w:val="007723AE"/>
    <w:rsid w:val="00773273"/>
    <w:rsid w:val="007900C1"/>
    <w:rsid w:val="00791038"/>
    <w:rsid w:val="00796060"/>
    <w:rsid w:val="007A1D28"/>
    <w:rsid w:val="007C283F"/>
    <w:rsid w:val="007F0433"/>
    <w:rsid w:val="00830686"/>
    <w:rsid w:val="00844064"/>
    <w:rsid w:val="008563D7"/>
    <w:rsid w:val="00856D01"/>
    <w:rsid w:val="008756EC"/>
    <w:rsid w:val="00880DAE"/>
    <w:rsid w:val="00884FC7"/>
    <w:rsid w:val="00895F57"/>
    <w:rsid w:val="008B334B"/>
    <w:rsid w:val="008C0C85"/>
    <w:rsid w:val="008C5CA8"/>
    <w:rsid w:val="008F6D92"/>
    <w:rsid w:val="00910377"/>
    <w:rsid w:val="009248E7"/>
    <w:rsid w:val="00924CB1"/>
    <w:rsid w:val="00937035"/>
    <w:rsid w:val="009662B4"/>
    <w:rsid w:val="009670EF"/>
    <w:rsid w:val="00985014"/>
    <w:rsid w:val="00991D6C"/>
    <w:rsid w:val="009A1FA7"/>
    <w:rsid w:val="009A5787"/>
    <w:rsid w:val="009B0208"/>
    <w:rsid w:val="009D7016"/>
    <w:rsid w:val="009D7623"/>
    <w:rsid w:val="00A03043"/>
    <w:rsid w:val="00A0441A"/>
    <w:rsid w:val="00A47C5B"/>
    <w:rsid w:val="00A76425"/>
    <w:rsid w:val="00A83493"/>
    <w:rsid w:val="00AA6EEC"/>
    <w:rsid w:val="00AB1C4D"/>
    <w:rsid w:val="00AD3328"/>
    <w:rsid w:val="00AD3F6A"/>
    <w:rsid w:val="00B0092A"/>
    <w:rsid w:val="00B24ED0"/>
    <w:rsid w:val="00B46148"/>
    <w:rsid w:val="00B505EC"/>
    <w:rsid w:val="00B73919"/>
    <w:rsid w:val="00B7415C"/>
    <w:rsid w:val="00B97C29"/>
    <w:rsid w:val="00BA25DC"/>
    <w:rsid w:val="00BF58E3"/>
    <w:rsid w:val="00BF6595"/>
    <w:rsid w:val="00C13501"/>
    <w:rsid w:val="00C76471"/>
    <w:rsid w:val="00CA63CB"/>
    <w:rsid w:val="00CB1901"/>
    <w:rsid w:val="00CC2386"/>
    <w:rsid w:val="00CC5DB8"/>
    <w:rsid w:val="00CC636B"/>
    <w:rsid w:val="00CD4576"/>
    <w:rsid w:val="00D26431"/>
    <w:rsid w:val="00D27547"/>
    <w:rsid w:val="00D30727"/>
    <w:rsid w:val="00D41226"/>
    <w:rsid w:val="00D4450F"/>
    <w:rsid w:val="00D75D33"/>
    <w:rsid w:val="00D76D93"/>
    <w:rsid w:val="00D80A8E"/>
    <w:rsid w:val="00D91118"/>
    <w:rsid w:val="00DA2CDD"/>
    <w:rsid w:val="00DA2EC4"/>
    <w:rsid w:val="00DB2968"/>
    <w:rsid w:val="00DC2BE8"/>
    <w:rsid w:val="00DD6BA2"/>
    <w:rsid w:val="00E10467"/>
    <w:rsid w:val="00E20668"/>
    <w:rsid w:val="00E25773"/>
    <w:rsid w:val="00E54884"/>
    <w:rsid w:val="00E649C9"/>
    <w:rsid w:val="00E64C0E"/>
    <w:rsid w:val="00E70395"/>
    <w:rsid w:val="00ED21AB"/>
    <w:rsid w:val="00EF7837"/>
    <w:rsid w:val="00F050EA"/>
    <w:rsid w:val="00F22F0E"/>
    <w:rsid w:val="00F246B5"/>
    <w:rsid w:val="00F64483"/>
    <w:rsid w:val="00F64E2F"/>
    <w:rsid w:val="00F64F65"/>
    <w:rsid w:val="00FA1257"/>
    <w:rsid w:val="00FC4269"/>
    <w:rsid w:val="00FD5564"/>
    <w:rsid w:val="00FF5E6E"/>
    <w:rsid w:val="00FF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511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00C1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7900C1"/>
    <w:pPr>
      <w:tabs>
        <w:tab w:val="right" w:pos="8222"/>
      </w:tabs>
    </w:pPr>
    <w:rPr>
      <w:sz w:val="18"/>
    </w:rPr>
  </w:style>
  <w:style w:type="character" w:customStyle="1" w:styleId="PtaChar">
    <w:name w:val="Päta Char"/>
    <w:basedOn w:val="Predvolenpsmoodseku"/>
    <w:link w:val="Pta"/>
    <w:uiPriority w:val="99"/>
    <w:rsid w:val="007900C1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rsid w:val="007900C1"/>
    <w:pPr>
      <w:spacing w:line="220" w:lineRule="atLeast"/>
      <w:jc w:val="right"/>
    </w:pPr>
    <w:rPr>
      <w:i/>
      <w:sz w:val="18"/>
    </w:rPr>
  </w:style>
  <w:style w:type="character" w:customStyle="1" w:styleId="HlavikaChar">
    <w:name w:val="Hlavička Char"/>
    <w:basedOn w:val="Predvolenpsmoodseku"/>
    <w:link w:val="Hlavika"/>
    <w:uiPriority w:val="99"/>
    <w:rsid w:val="007900C1"/>
    <w:rPr>
      <w:rFonts w:ascii="Times New Roman" w:eastAsia="Times New Roman" w:hAnsi="Times New Roman" w:cs="Times New Roman"/>
      <w:i/>
      <w:sz w:val="18"/>
      <w:szCs w:val="20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Char4"/>
    <w:basedOn w:val="Normlny"/>
    <w:link w:val="TextpoznmkypodiarouChar"/>
    <w:uiPriority w:val="99"/>
    <w:semiHidden/>
    <w:rsid w:val="007900C1"/>
    <w:rPr>
      <w:sz w:val="18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Char4 Char"/>
    <w:basedOn w:val="Predvolenpsmoodseku"/>
    <w:link w:val="Textpoznmkypodiarou"/>
    <w:uiPriority w:val="99"/>
    <w:semiHidden/>
    <w:rsid w:val="007900C1"/>
    <w:rPr>
      <w:rFonts w:ascii="Times New Roman" w:eastAsia="Times New Roman" w:hAnsi="Times New Roman" w:cs="Times New Roman"/>
      <w:sz w:val="18"/>
      <w:szCs w:val="20"/>
    </w:rPr>
  </w:style>
  <w:style w:type="character" w:styleId="slostrany">
    <w:name w:val="page number"/>
    <w:basedOn w:val="Predvolenpsmoodseku"/>
    <w:semiHidden/>
    <w:rsid w:val="007900C1"/>
    <w:rPr>
      <w:sz w:val="22"/>
    </w:rPr>
  </w:style>
  <w:style w:type="paragraph" w:styleId="Odsekzoznamu">
    <w:name w:val="List Paragraph"/>
    <w:aliases w:val="body,Odsek zoznamu2,List Paragraph,Listenabsatz"/>
    <w:basedOn w:val="Normlny"/>
    <w:link w:val="OdsekzoznamuChar"/>
    <w:uiPriority w:val="34"/>
    <w:qFormat/>
    <w:rsid w:val="007900C1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7900C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900C1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900C1"/>
    <w:rPr>
      <w:rFonts w:ascii="Times New Roman" w:eastAsia="Times New Roman" w:hAnsi="Times New Roman" w:cs="Times New Roman"/>
      <w:sz w:val="20"/>
      <w:szCs w:val="20"/>
    </w:rPr>
  </w:style>
  <w:style w:type="table" w:styleId="Mriekatabuky">
    <w:name w:val="Table Grid"/>
    <w:basedOn w:val="Normlnatabuka"/>
    <w:uiPriority w:val="59"/>
    <w:rsid w:val="007900C1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"/>
    <w:uiPriority w:val="99"/>
    <w:semiHidden/>
    <w:rsid w:val="007900C1"/>
    <w:rPr>
      <w:rFonts w:cs="Times New Roman"/>
      <w:vertAlign w:val="superscript"/>
    </w:rPr>
  </w:style>
  <w:style w:type="character" w:customStyle="1" w:styleId="OdsekzoznamuChar">
    <w:name w:val="Odsek zoznamu Char"/>
    <w:aliases w:val="body Char,Odsek zoznamu2 Char,List Paragraph Char,Listenabsatz Char"/>
    <w:link w:val="Odsekzoznamu"/>
    <w:uiPriority w:val="34"/>
    <w:locked/>
    <w:rsid w:val="007900C1"/>
    <w:rPr>
      <w:rFonts w:ascii="Times New Roman" w:eastAsia="Times New Roman" w:hAnsi="Times New Roman" w:cs="Times New Roman"/>
      <w:szCs w:val="20"/>
    </w:rPr>
  </w:style>
  <w:style w:type="character" w:styleId="Zstupntext">
    <w:name w:val="Placeholder Text"/>
    <w:basedOn w:val="Predvolenpsmoodseku"/>
    <w:uiPriority w:val="99"/>
    <w:semiHidden/>
    <w:rsid w:val="007900C1"/>
    <w:rPr>
      <w:color w:val="80808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91D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91D6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991D6C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D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D6C"/>
    <w:rPr>
      <w:rFonts w:ascii="Segoe UI" w:eastAsia="Times New Roman" w:hAnsi="Segoe UI" w:cs="Segoe U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9D7016"/>
    <w:rPr>
      <w:rFonts w:ascii="Calibri" w:eastAsia="Times New Roman" w:hAnsi="Calibri"/>
      <w:sz w:val="20"/>
      <w:szCs w:val="20"/>
      <w:lang w:eastAsia="sk-SK"/>
    </w:rPr>
  </w:style>
  <w:style w:type="paragraph" w:styleId="Bezriadkovania">
    <w:name w:val="No Spacing"/>
    <w:link w:val="BezriadkovaniaChar"/>
    <w:uiPriority w:val="1"/>
    <w:qFormat/>
    <w:rsid w:val="009D7016"/>
    <w:pPr>
      <w:spacing w:after="0" w:line="240" w:lineRule="auto"/>
    </w:pPr>
    <w:rPr>
      <w:rFonts w:ascii="Calibri" w:eastAsia="Times New Roman" w:hAnsi="Calibri"/>
      <w:sz w:val="20"/>
      <w:szCs w:val="20"/>
      <w:lang w:eastAsia="sk-SK"/>
    </w:rPr>
  </w:style>
  <w:style w:type="character" w:customStyle="1" w:styleId="apple-converted-space">
    <w:name w:val="apple-converted-space"/>
    <w:basedOn w:val="Predvolenpsmoodseku"/>
    <w:rsid w:val="009D7016"/>
  </w:style>
  <w:style w:type="character" w:styleId="Zvraznenie">
    <w:name w:val="Emphasis"/>
    <w:basedOn w:val="Predvolenpsmoodseku"/>
    <w:uiPriority w:val="20"/>
    <w:qFormat/>
    <w:rsid w:val="009D7016"/>
    <w:rPr>
      <w:i/>
      <w:iCs/>
    </w:rPr>
  </w:style>
  <w:style w:type="paragraph" w:customStyle="1" w:styleId="Default">
    <w:name w:val="Default"/>
    <w:rsid w:val="00D80A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Deloittetable21">
    <w:name w:val="Deloitte table 21"/>
    <w:basedOn w:val="Normlnatabuka"/>
    <w:rsid w:val="00D80A8E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 w:cs="Arial" w:hint="default"/>
        <w:b/>
        <w:color w:val="FFFFFF"/>
        <w:sz w:val="19"/>
        <w:szCs w:val="19"/>
      </w:rPr>
      <w:tblPr/>
      <w:tcPr>
        <w:shd w:val="clear" w:color="auto" w:fill="00A1DE"/>
      </w:tcPr>
    </w:tblStylePr>
    <w:tblStylePr w:type="firstCol">
      <w:rPr>
        <w:rFonts w:ascii="Arial" w:hAnsi="Arial" w:cs="Arial" w:hint="default"/>
        <w:sz w:val="19"/>
        <w:szCs w:val="19"/>
      </w:rPr>
    </w:tblStylePr>
  </w:style>
  <w:style w:type="paragraph" w:styleId="Normlnywebov">
    <w:name w:val="Normal (Web)"/>
    <w:basedOn w:val="Normlny"/>
    <w:uiPriority w:val="99"/>
    <w:semiHidden/>
    <w:unhideWhenUsed/>
    <w:rsid w:val="00F64E2F"/>
    <w:pPr>
      <w:spacing w:before="100" w:beforeAutospacing="1" w:after="100" w:afterAutospacing="1"/>
    </w:pPr>
    <w:rPr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cid:image001.png@01D6F2FC.E4E93F2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85000-1CAA-4AAB-8D0E-8C418083F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2021-07-22T07:40:00Z</dcterms:created>
  <dcterms:modified xsi:type="dcterms:W3CDTF">2021-07-22T07:40:00Z</dcterms:modified>
</cp:coreProperties>
</file>